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1E6A" w14:textId="77777777" w:rsidR="003A1337" w:rsidRPr="00387AF8" w:rsidRDefault="003205F0" w:rsidP="003A1337">
      <w:pPr>
        <w:pStyle w:val="prilozhenieglava"/>
        <w:spacing w:before="0" w:after="0"/>
        <w:rPr>
          <w:lang w:val="en-US"/>
        </w:rPr>
      </w:pPr>
      <w:r w:rsidRPr="00397BEF">
        <w:rPr>
          <w:caps w:val="0"/>
          <w:lang w:val="en-US"/>
        </w:rPr>
        <w:t>Essential</w:t>
      </w:r>
      <w:r w:rsidRPr="00387AF8">
        <w:rPr>
          <w:caps w:val="0"/>
          <w:lang w:val="en-US"/>
        </w:rPr>
        <w:t xml:space="preserve"> </w:t>
      </w:r>
      <w:r w:rsidRPr="00397BEF">
        <w:rPr>
          <w:caps w:val="0"/>
          <w:lang w:val="en-US"/>
        </w:rPr>
        <w:t>Fact</w:t>
      </w:r>
      <w:r w:rsidRPr="00387AF8">
        <w:rPr>
          <w:caps w:val="0"/>
          <w:lang w:val="en-US"/>
        </w:rPr>
        <w:t xml:space="preserve"> </w:t>
      </w:r>
      <w:r w:rsidR="00CF6B32" w:rsidRPr="00397BEF">
        <w:rPr>
          <w:caps w:val="0"/>
          <w:lang w:val="en-US"/>
        </w:rPr>
        <w:t>Message</w:t>
      </w:r>
    </w:p>
    <w:p w14:paraId="16D7BDA0" w14:textId="79153EED" w:rsidR="003A1337" w:rsidRPr="00A63110" w:rsidRDefault="003205F0" w:rsidP="003A1337">
      <w:pPr>
        <w:pStyle w:val="prilozhenieglava"/>
        <w:spacing w:before="0" w:after="0"/>
        <w:rPr>
          <w:lang w:val="en-US"/>
        </w:rPr>
      </w:pPr>
      <w:r w:rsidRPr="00A63110">
        <w:rPr>
          <w:caps w:val="0"/>
          <w:lang w:val="en-US"/>
        </w:rPr>
        <w:t>“</w:t>
      </w:r>
      <w:r w:rsidRPr="00397BEF">
        <w:rPr>
          <w:caps w:val="0"/>
          <w:lang w:val="en-US"/>
        </w:rPr>
        <w:t>About</w:t>
      </w:r>
      <w:r w:rsidRPr="00A63110">
        <w:rPr>
          <w:caps w:val="0"/>
          <w:lang w:val="en-US"/>
        </w:rPr>
        <w:t xml:space="preserve"> </w:t>
      </w:r>
      <w:r w:rsidR="00A63110" w:rsidRPr="00A63110">
        <w:rPr>
          <w:caps w:val="0"/>
          <w:lang w:val="en-US"/>
        </w:rPr>
        <w:t>the Inclusion of the Issuer's Equity Securities in the List of Securities Admitted to Organized Trading by the Russian Trade Organizer</w:t>
      </w:r>
      <w:r w:rsidRPr="00A63110">
        <w:rPr>
          <w:caps w:val="0"/>
          <w:lang w:val="en-US"/>
        </w:rPr>
        <w:t>”</w:t>
      </w:r>
    </w:p>
    <w:p w14:paraId="6D9252ED" w14:textId="77777777" w:rsidR="003A1337" w:rsidRPr="00A63110" w:rsidRDefault="003A1337" w:rsidP="003A1337">
      <w:pPr>
        <w:pStyle w:val="prilozhenieglava"/>
        <w:spacing w:before="0" w:after="0"/>
        <w:rPr>
          <w:lang w:val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5033"/>
      </w:tblGrid>
      <w:tr w:rsidR="003A1337" w:rsidRPr="00172D96" w14:paraId="6B15F938" w14:textId="77777777" w:rsidTr="00DB3CC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49F5" w14:textId="77777777" w:rsidR="003A1337" w:rsidRPr="00172D96" w:rsidRDefault="003A1337" w:rsidP="00DB3CC7">
            <w:pPr>
              <w:pStyle w:val="prilozhenie"/>
              <w:ind w:firstLine="0"/>
              <w:jc w:val="center"/>
            </w:pPr>
            <w:r w:rsidRPr="00172D96">
              <w:t xml:space="preserve">1. </w:t>
            </w:r>
            <w:proofErr w:type="spellStart"/>
            <w:r w:rsidRPr="00172D96">
              <w:t>General</w:t>
            </w:r>
            <w:proofErr w:type="spellEnd"/>
          </w:p>
        </w:tc>
      </w:tr>
      <w:tr w:rsidR="002D543A" w:rsidRPr="002D0CB7" w14:paraId="63D4BB5C" w14:textId="77777777" w:rsidTr="00DB3CC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28B" w14:textId="77777777" w:rsidR="002D543A" w:rsidRPr="00C3299D" w:rsidRDefault="002D543A" w:rsidP="00877290">
            <w:pPr>
              <w:pStyle w:val="prilozhenie"/>
              <w:ind w:firstLine="0"/>
              <w:rPr>
                <w:lang w:val="en-US"/>
              </w:rPr>
            </w:pPr>
            <w:r w:rsidRPr="00C3299D">
              <w:rPr>
                <w:lang w:val="en-US"/>
              </w:rPr>
              <w:t xml:space="preserve">1.1.  Full corporate name of the Issuer 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93C" w14:textId="77777777" w:rsidR="002D543A" w:rsidRPr="00C3299D" w:rsidRDefault="002D543A" w:rsidP="00920322">
            <w:pPr>
              <w:jc w:val="both"/>
              <w:rPr>
                <w:sz w:val="24"/>
                <w:szCs w:val="24"/>
                <w:lang w:val="en-US"/>
              </w:rPr>
            </w:pPr>
            <w:r w:rsidRPr="00C3299D">
              <w:rPr>
                <w:sz w:val="24"/>
                <w:szCs w:val="24"/>
                <w:lang w:val="en-US"/>
              </w:rPr>
              <w:t xml:space="preserve">Public Joint Stock Company </w:t>
            </w:r>
            <w:r w:rsidR="00931F12" w:rsidRPr="00C3299D">
              <w:rPr>
                <w:sz w:val="24"/>
                <w:szCs w:val="24"/>
                <w:lang w:val="en-US"/>
              </w:rPr>
              <w:t xml:space="preserve">TATNEFT </w:t>
            </w:r>
            <w:r w:rsidRPr="00C3299D">
              <w:rPr>
                <w:sz w:val="24"/>
                <w:szCs w:val="24"/>
                <w:lang w:val="en-US"/>
              </w:rPr>
              <w:t>named after V.D. Shashin</w:t>
            </w:r>
          </w:p>
        </w:tc>
      </w:tr>
      <w:tr w:rsidR="002D543A" w:rsidRPr="002D0CB7" w14:paraId="62FBEF56" w14:textId="77777777" w:rsidTr="00DB3CC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D15" w14:textId="77777777" w:rsidR="002D543A" w:rsidRPr="00C3299D" w:rsidRDefault="002D543A" w:rsidP="00877290">
            <w:pPr>
              <w:pStyle w:val="prilozhenie"/>
              <w:ind w:firstLine="0"/>
              <w:rPr>
                <w:lang w:val="en-US"/>
              </w:rPr>
            </w:pPr>
            <w:r w:rsidRPr="00C3299D">
              <w:rPr>
                <w:lang w:val="en-US"/>
              </w:rPr>
              <w:t xml:space="preserve">1.2. Abbreviated corporate name of the Issuer 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7B6" w14:textId="77777777" w:rsidR="002D543A" w:rsidRPr="00C3299D" w:rsidRDefault="00931F12" w:rsidP="0002474D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9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391206" w:rsidRPr="00C3299D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  <w:r w:rsidR="002D543A" w:rsidRPr="00C32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TATNEFT n</w:t>
            </w:r>
            <w:r w:rsidR="0002474D" w:rsidRPr="00C32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D543A" w:rsidRPr="00C32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="0002474D" w:rsidRPr="00C329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D543A" w:rsidRPr="00C329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V.D. Shashin </w:t>
            </w:r>
          </w:p>
        </w:tc>
      </w:tr>
      <w:tr w:rsidR="002D543A" w:rsidRPr="002D0CB7" w14:paraId="7D2C219C" w14:textId="77777777" w:rsidTr="00DB3CC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77F" w14:textId="77777777" w:rsidR="002D543A" w:rsidRPr="00C3299D" w:rsidRDefault="002D543A" w:rsidP="00877290">
            <w:pPr>
              <w:pStyle w:val="prilozhenie"/>
              <w:ind w:firstLine="0"/>
            </w:pPr>
            <w:r w:rsidRPr="00C3299D">
              <w:t xml:space="preserve">1.3. </w:t>
            </w:r>
            <w:r w:rsidRPr="00C3299D">
              <w:rPr>
                <w:lang w:val="en-US"/>
              </w:rPr>
              <w:t>Location of the Issuer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A7F" w14:textId="77777777" w:rsidR="002D543A" w:rsidRPr="00C3299D" w:rsidRDefault="002D543A" w:rsidP="00920322">
            <w:pPr>
              <w:jc w:val="both"/>
              <w:rPr>
                <w:sz w:val="24"/>
                <w:szCs w:val="24"/>
                <w:lang w:val="en-US"/>
              </w:rPr>
            </w:pPr>
            <w:r w:rsidRPr="00C3299D">
              <w:rPr>
                <w:sz w:val="24"/>
                <w:szCs w:val="24"/>
                <w:lang w:val="en-US"/>
              </w:rPr>
              <w:t xml:space="preserve">75, Lenin Street, Almetyevsk 423450, Republic of Tatarstan, Russia </w:t>
            </w:r>
          </w:p>
        </w:tc>
      </w:tr>
      <w:tr w:rsidR="002D543A" w:rsidRPr="00172D96" w14:paraId="3EF3F463" w14:textId="77777777" w:rsidTr="00DB3CC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7F5" w14:textId="77777777" w:rsidR="002D543A" w:rsidRPr="00C3299D" w:rsidRDefault="002D543A" w:rsidP="00877290">
            <w:pPr>
              <w:pStyle w:val="prilozhenie"/>
              <w:ind w:firstLine="0"/>
              <w:rPr>
                <w:lang w:val="en-US"/>
              </w:rPr>
            </w:pPr>
            <w:r w:rsidRPr="00C3299D">
              <w:rPr>
                <w:lang w:val="en-US"/>
              </w:rPr>
              <w:t>1.4. The Issuer's OGRN (Primary State Registration Number)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643" w14:textId="77777777" w:rsidR="002D543A" w:rsidRPr="00C3299D" w:rsidRDefault="002D543A" w:rsidP="00920322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299D">
              <w:rPr>
                <w:rFonts w:ascii="Times New Roman" w:hAnsi="Times New Roman"/>
                <w:sz w:val="24"/>
                <w:szCs w:val="24"/>
              </w:rPr>
              <w:t>1021601623702</w:t>
            </w:r>
          </w:p>
        </w:tc>
      </w:tr>
      <w:tr w:rsidR="002D543A" w:rsidRPr="00172D96" w14:paraId="4EFEB7C5" w14:textId="77777777" w:rsidTr="00DB3CC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50F5" w14:textId="77777777" w:rsidR="002D543A" w:rsidRPr="00C3299D" w:rsidRDefault="002D543A" w:rsidP="00877290">
            <w:pPr>
              <w:pStyle w:val="prilozhenie"/>
              <w:ind w:firstLine="0"/>
              <w:rPr>
                <w:lang w:val="en-US"/>
              </w:rPr>
            </w:pPr>
            <w:r w:rsidRPr="00C3299D">
              <w:rPr>
                <w:lang w:val="en-US"/>
              </w:rPr>
              <w:t>1.5. The Issuer's INN (Individual Taxpayer Number)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C6D" w14:textId="77777777" w:rsidR="002D543A" w:rsidRPr="00C3299D" w:rsidRDefault="002D543A" w:rsidP="00920322">
            <w:pPr>
              <w:jc w:val="both"/>
              <w:rPr>
                <w:sz w:val="24"/>
                <w:szCs w:val="24"/>
              </w:rPr>
            </w:pPr>
            <w:r w:rsidRPr="00C3299D">
              <w:rPr>
                <w:sz w:val="24"/>
                <w:szCs w:val="24"/>
              </w:rPr>
              <w:t>1644003838</w:t>
            </w:r>
          </w:p>
        </w:tc>
      </w:tr>
      <w:tr w:rsidR="002D543A" w:rsidRPr="00172D96" w14:paraId="7B9F117D" w14:textId="77777777" w:rsidTr="00DB3CC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6EC" w14:textId="77777777" w:rsidR="002D543A" w:rsidRPr="00C3299D" w:rsidRDefault="002D543A" w:rsidP="00877290">
            <w:pPr>
              <w:pStyle w:val="prilozhenie"/>
              <w:ind w:firstLine="0"/>
              <w:rPr>
                <w:lang w:val="en-US"/>
              </w:rPr>
            </w:pPr>
            <w:r w:rsidRPr="00C3299D">
              <w:rPr>
                <w:lang w:val="en-US"/>
              </w:rPr>
              <w:t>1.6. The Issuer's Unique Code assigned by the registering authority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A3DB" w14:textId="77777777" w:rsidR="002D543A" w:rsidRPr="00C3299D" w:rsidRDefault="002D543A" w:rsidP="00920322">
            <w:pPr>
              <w:jc w:val="both"/>
              <w:rPr>
                <w:sz w:val="24"/>
                <w:szCs w:val="24"/>
              </w:rPr>
            </w:pPr>
            <w:r w:rsidRPr="00C3299D">
              <w:rPr>
                <w:sz w:val="24"/>
                <w:szCs w:val="24"/>
              </w:rPr>
              <w:t>00161-A</w:t>
            </w:r>
          </w:p>
          <w:p w14:paraId="7801E445" w14:textId="77777777" w:rsidR="002D543A" w:rsidRPr="00C3299D" w:rsidRDefault="002D543A" w:rsidP="00920322">
            <w:pPr>
              <w:pStyle w:val="ConsNormal"/>
              <w:rPr>
                <w:sz w:val="24"/>
                <w:szCs w:val="24"/>
              </w:rPr>
            </w:pPr>
          </w:p>
        </w:tc>
      </w:tr>
      <w:tr w:rsidR="002D543A" w:rsidRPr="002D0CB7" w14:paraId="2440B831" w14:textId="77777777" w:rsidTr="00DB3CC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44E" w14:textId="77777777" w:rsidR="002D543A" w:rsidRPr="00C3299D" w:rsidRDefault="002D543A" w:rsidP="00877290">
            <w:pPr>
              <w:pStyle w:val="prilozhenie"/>
              <w:ind w:firstLine="0"/>
              <w:rPr>
                <w:lang w:val="en-US"/>
              </w:rPr>
            </w:pPr>
            <w:r w:rsidRPr="00C3299D">
              <w:rPr>
                <w:lang w:val="en-US"/>
              </w:rPr>
              <w:t>1.7. Web site address in the Internet used by the Issuer for information disclosure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C9B" w14:textId="77777777" w:rsidR="002D543A" w:rsidRPr="00C3299D" w:rsidRDefault="002D0CB7" w:rsidP="00920322">
            <w:pPr>
              <w:jc w:val="both"/>
              <w:rPr>
                <w:sz w:val="24"/>
                <w:szCs w:val="24"/>
                <w:lang w:val="en-US"/>
              </w:rPr>
            </w:pPr>
            <w:hyperlink r:id="rId5" w:history="1">
              <w:r w:rsidR="002D543A" w:rsidRPr="00C3299D">
                <w:rPr>
                  <w:rStyle w:val="a4"/>
                  <w:sz w:val="24"/>
                  <w:szCs w:val="24"/>
                  <w:lang w:val="en-US"/>
                </w:rPr>
                <w:t>http://www.tatneft.ru</w:t>
              </w:r>
            </w:hyperlink>
            <w:r w:rsidR="002D543A" w:rsidRPr="00C3299D">
              <w:rPr>
                <w:sz w:val="24"/>
                <w:szCs w:val="24"/>
                <w:lang w:val="en-US"/>
              </w:rPr>
              <w:t xml:space="preserve">, </w:t>
            </w:r>
            <w:hyperlink r:id="rId6" w:history="1">
              <w:r w:rsidR="002D543A" w:rsidRPr="00C3299D">
                <w:rPr>
                  <w:rStyle w:val="a4"/>
                  <w:sz w:val="24"/>
                  <w:szCs w:val="24"/>
                  <w:lang w:val="en-US"/>
                </w:rPr>
                <w:t>http://disclosure.skrin.ru/disclosure/1644003838</w:t>
              </w:r>
            </w:hyperlink>
          </w:p>
          <w:p w14:paraId="7FB37FF4" w14:textId="77777777" w:rsidR="002D543A" w:rsidRPr="00C3299D" w:rsidRDefault="002D543A" w:rsidP="00920322">
            <w:pPr>
              <w:pStyle w:val="ConsNormal"/>
              <w:rPr>
                <w:sz w:val="24"/>
                <w:szCs w:val="24"/>
                <w:lang w:val="en-US"/>
              </w:rPr>
            </w:pPr>
          </w:p>
        </w:tc>
      </w:tr>
      <w:tr w:rsidR="00B45B5A" w:rsidRPr="00A63110" w14:paraId="2B4F9298" w14:textId="77777777" w:rsidTr="00DB3CC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176" w14:textId="72719372" w:rsidR="00B45B5A" w:rsidRPr="00C3299D" w:rsidRDefault="00B45B5A" w:rsidP="00B45B5A">
            <w:pPr>
              <w:pStyle w:val="prilozhenie"/>
              <w:ind w:firstLine="0"/>
              <w:rPr>
                <w:lang w:val="en-US"/>
              </w:rPr>
            </w:pPr>
            <w:r w:rsidRPr="00B45B5A">
              <w:rPr>
                <w:lang w:val="en-US"/>
              </w:rPr>
              <w:t>1.8. Date of the event (essential fact) occurrence, which the message was compiled about (or as it is applicable to)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C58" w14:textId="34F1466F" w:rsidR="00B45B5A" w:rsidRPr="00547C4F" w:rsidRDefault="00387AF8" w:rsidP="002D0CB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 2</w:t>
            </w:r>
            <w:r w:rsidR="002D0CB7">
              <w:rPr>
                <w:sz w:val="24"/>
                <w:szCs w:val="24"/>
              </w:rPr>
              <w:t>8</w:t>
            </w:r>
            <w:r w:rsidR="00547C4F" w:rsidRPr="00547C4F">
              <w:rPr>
                <w:sz w:val="24"/>
                <w:szCs w:val="24"/>
                <w:lang w:val="en-US"/>
              </w:rPr>
              <w:t>, 2021</w:t>
            </w:r>
          </w:p>
        </w:tc>
      </w:tr>
      <w:tr w:rsidR="003A1337" w:rsidRPr="00172D96" w14:paraId="6C4025B8" w14:textId="77777777" w:rsidTr="00DB3CC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479" w14:textId="495E5388" w:rsidR="002F6E66" w:rsidRPr="00C3299D" w:rsidRDefault="003A1337" w:rsidP="00B45B5A">
            <w:pPr>
              <w:pStyle w:val="prilozhenie"/>
              <w:ind w:firstLine="0"/>
              <w:jc w:val="center"/>
              <w:rPr>
                <w:color w:val="000000"/>
              </w:rPr>
            </w:pPr>
            <w:r w:rsidRPr="00C3299D">
              <w:t xml:space="preserve">2. </w:t>
            </w:r>
            <w:r w:rsidRPr="00C3299D">
              <w:rPr>
                <w:lang w:val="en-US"/>
              </w:rPr>
              <w:t>Message Content</w:t>
            </w:r>
          </w:p>
        </w:tc>
      </w:tr>
      <w:tr w:rsidR="003A1337" w:rsidRPr="002D0CB7" w14:paraId="5159066E" w14:textId="77777777" w:rsidTr="00DB3CC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636" w14:textId="2435EB30" w:rsidR="00547C4F" w:rsidRPr="0032714B" w:rsidRDefault="004426BD" w:rsidP="004426B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2714B">
              <w:rPr>
                <w:color w:val="000000"/>
                <w:sz w:val="24"/>
                <w:szCs w:val="24"/>
                <w:lang w:val="en-US"/>
              </w:rPr>
              <w:t>2.1.</w:t>
            </w:r>
            <w:r w:rsidR="00547C4F" w:rsidRPr="0032714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2714B">
              <w:rPr>
                <w:rFonts w:eastAsiaTheme="minorHAnsi"/>
                <w:sz w:val="24"/>
                <w:szCs w:val="24"/>
                <w:lang w:val="en-US"/>
              </w:rPr>
              <w:t>The f</w:t>
            </w:r>
            <w:r w:rsidR="0032714B" w:rsidRPr="0032714B">
              <w:rPr>
                <w:rFonts w:eastAsiaTheme="minorHAnsi"/>
                <w:sz w:val="24"/>
                <w:szCs w:val="24"/>
                <w:lang w:val="en-US"/>
              </w:rPr>
              <w:t xml:space="preserve">ull corporate name of the Russian stock exchange, </w:t>
            </w:r>
            <w:r w:rsidR="0032714B">
              <w:rPr>
                <w:rFonts w:eastAsiaTheme="minorHAnsi"/>
                <w:sz w:val="24"/>
                <w:szCs w:val="24"/>
                <w:lang w:val="en-US"/>
              </w:rPr>
              <w:t xml:space="preserve">which </w:t>
            </w:r>
            <w:r w:rsidR="0032714B" w:rsidRPr="0032714B">
              <w:rPr>
                <w:rFonts w:eastAsiaTheme="minorHAnsi"/>
                <w:sz w:val="24"/>
                <w:szCs w:val="24"/>
                <w:lang w:val="en-US"/>
              </w:rPr>
              <w:t xml:space="preserve">quotation list includes the securities of the Issuer (the Russian trade organizer that included the </w:t>
            </w:r>
            <w:r w:rsidR="00211795" w:rsidRPr="0032714B">
              <w:rPr>
                <w:rFonts w:eastAsiaTheme="minorHAnsi"/>
                <w:sz w:val="24"/>
                <w:szCs w:val="24"/>
                <w:lang w:val="en-US"/>
              </w:rPr>
              <w:t xml:space="preserve">Issuer's </w:t>
            </w:r>
            <w:r w:rsidR="0032714B" w:rsidRPr="0032714B">
              <w:rPr>
                <w:rFonts w:eastAsiaTheme="minorHAnsi"/>
                <w:sz w:val="24"/>
                <w:szCs w:val="24"/>
                <w:lang w:val="en-US"/>
              </w:rPr>
              <w:t>securities in the list of securities admitted to organized trading): Public Joint Stock Company "Saint Petersburg Stock Exchange</w:t>
            </w:r>
            <w:r w:rsidR="00211795">
              <w:rPr>
                <w:rFonts w:eastAsiaTheme="minorHAnsi"/>
                <w:sz w:val="24"/>
                <w:szCs w:val="24"/>
                <w:lang w:val="en-US"/>
              </w:rPr>
              <w:t>”</w:t>
            </w:r>
            <w:r w:rsidR="00547C4F" w:rsidRPr="0032714B">
              <w:rPr>
                <w:rFonts w:eastAsiaTheme="minorHAnsi"/>
                <w:sz w:val="24"/>
                <w:szCs w:val="24"/>
                <w:lang w:val="en-US"/>
              </w:rPr>
              <w:t>.</w:t>
            </w:r>
          </w:p>
          <w:p w14:paraId="7ED6E0BC" w14:textId="77777777" w:rsidR="00547C4F" w:rsidRPr="0032714B" w:rsidRDefault="00547C4F" w:rsidP="004426B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14:paraId="73F3F3C9" w14:textId="638E9C8F" w:rsidR="004426BD" w:rsidRPr="0032714B" w:rsidRDefault="00CC6463" w:rsidP="004426BD">
            <w:pPr>
              <w:jc w:val="both"/>
              <w:rPr>
                <w:sz w:val="24"/>
                <w:szCs w:val="24"/>
                <w:lang w:val="en-US"/>
              </w:rPr>
            </w:pPr>
            <w:r w:rsidRPr="0032714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47C4F" w:rsidRPr="0032714B">
              <w:rPr>
                <w:color w:val="000000"/>
                <w:sz w:val="24"/>
                <w:szCs w:val="24"/>
                <w:lang w:val="en-US"/>
              </w:rPr>
              <w:t xml:space="preserve">2.2. </w:t>
            </w:r>
            <w:r w:rsidRPr="0032714B">
              <w:rPr>
                <w:color w:val="000000"/>
                <w:sz w:val="24"/>
                <w:szCs w:val="24"/>
                <w:lang w:val="en-US"/>
              </w:rPr>
              <w:t xml:space="preserve">Kind, </w:t>
            </w:r>
            <w:r w:rsidRPr="0032714B">
              <w:rPr>
                <w:sz w:val="24"/>
                <w:szCs w:val="24"/>
                <w:lang w:val="en-US"/>
              </w:rPr>
              <w:t xml:space="preserve">category </w:t>
            </w:r>
            <w:r w:rsidR="004426BD" w:rsidRPr="0032714B">
              <w:rPr>
                <w:sz w:val="24"/>
                <w:szCs w:val="24"/>
                <w:lang w:val="en-US"/>
              </w:rPr>
              <w:t xml:space="preserve">(type) and other identification characteristics of </w:t>
            </w:r>
            <w:r w:rsidRPr="0032714B">
              <w:rPr>
                <w:sz w:val="24"/>
                <w:szCs w:val="24"/>
                <w:lang w:val="en-US"/>
              </w:rPr>
              <w:t xml:space="preserve">the </w:t>
            </w:r>
            <w:r w:rsidR="002C4449" w:rsidRPr="0032714B">
              <w:rPr>
                <w:sz w:val="24"/>
                <w:szCs w:val="24"/>
                <w:lang w:val="en-US"/>
              </w:rPr>
              <w:t>Issuer</w:t>
            </w:r>
            <w:r w:rsidR="00413E06" w:rsidRPr="0032714B">
              <w:rPr>
                <w:sz w:val="24"/>
                <w:szCs w:val="24"/>
                <w:lang w:val="en-US"/>
              </w:rPr>
              <w:t>’s</w:t>
            </w:r>
            <w:r w:rsidR="002C4449" w:rsidRPr="0032714B">
              <w:rPr>
                <w:sz w:val="24"/>
                <w:szCs w:val="24"/>
                <w:lang w:val="en-US"/>
              </w:rPr>
              <w:t xml:space="preserve"> </w:t>
            </w:r>
            <w:r w:rsidR="004426BD" w:rsidRPr="0032714B">
              <w:rPr>
                <w:sz w:val="24"/>
                <w:szCs w:val="24"/>
                <w:lang w:val="en-US"/>
              </w:rPr>
              <w:t>registered securities</w:t>
            </w:r>
            <w:r w:rsidR="00413E06" w:rsidRPr="0032714B">
              <w:rPr>
                <w:sz w:val="24"/>
                <w:szCs w:val="24"/>
                <w:lang w:val="en-US"/>
              </w:rPr>
              <w:t xml:space="preserve"> </w:t>
            </w:r>
            <w:r w:rsidR="00211795" w:rsidRPr="0032714B">
              <w:rPr>
                <w:rFonts w:eastAsiaTheme="minorHAnsi"/>
                <w:sz w:val="24"/>
                <w:szCs w:val="24"/>
                <w:lang w:val="en-US"/>
              </w:rPr>
              <w:t>includes the securities of the Issuer (the Russian trade organizer that included the Issuer's securities in the list of securities admitted to organized trading</w:t>
            </w:r>
            <w:r w:rsidR="00211795">
              <w:rPr>
                <w:rFonts w:eastAsiaTheme="minorHAnsi"/>
                <w:sz w:val="24"/>
                <w:szCs w:val="24"/>
                <w:lang w:val="en-US"/>
              </w:rPr>
              <w:t xml:space="preserve"> by the Russian trade organizer</w:t>
            </w:r>
            <w:r w:rsidR="004426BD" w:rsidRPr="0032714B">
              <w:rPr>
                <w:sz w:val="24"/>
                <w:szCs w:val="24"/>
                <w:lang w:val="en-US"/>
              </w:rPr>
              <w:t>:</w:t>
            </w:r>
            <w:r w:rsidR="00387AF8" w:rsidRPr="0032714B">
              <w:rPr>
                <w:sz w:val="24"/>
                <w:szCs w:val="24"/>
                <w:lang w:val="en-US"/>
              </w:rPr>
              <w:t xml:space="preserve"> </w:t>
            </w:r>
            <w:r w:rsidR="00387AF8">
              <w:rPr>
                <w:sz w:val="24"/>
                <w:szCs w:val="24"/>
                <w:lang w:val="en-US"/>
              </w:rPr>
              <w:t>p</w:t>
            </w:r>
            <w:r w:rsidR="00387AF8" w:rsidRPr="0032714B">
              <w:rPr>
                <w:sz w:val="24"/>
                <w:szCs w:val="24"/>
                <w:lang w:val="en-US"/>
              </w:rPr>
              <w:t>r</w:t>
            </w:r>
            <w:r w:rsidR="00387AF8">
              <w:rPr>
                <w:sz w:val="24"/>
                <w:szCs w:val="24"/>
                <w:lang w:val="en-US"/>
              </w:rPr>
              <w:t>eference</w:t>
            </w:r>
            <w:r w:rsidR="00387AF8" w:rsidRPr="0032714B">
              <w:rPr>
                <w:sz w:val="24"/>
                <w:szCs w:val="24"/>
                <w:lang w:val="en-US"/>
              </w:rPr>
              <w:t xml:space="preserve"> registered uncertificated shares:</w:t>
            </w:r>
          </w:p>
          <w:p w14:paraId="511A4FE6" w14:textId="077E0592" w:rsidR="002C139C" w:rsidRDefault="004426BD" w:rsidP="004426BD">
            <w:pPr>
              <w:jc w:val="both"/>
              <w:rPr>
                <w:sz w:val="24"/>
                <w:szCs w:val="24"/>
                <w:lang w:val="en-US"/>
              </w:rPr>
            </w:pPr>
            <w:r w:rsidRPr="0032714B">
              <w:rPr>
                <w:sz w:val="24"/>
                <w:szCs w:val="24"/>
                <w:lang w:val="en-US"/>
              </w:rPr>
              <w:t xml:space="preserve"> </w:t>
            </w:r>
          </w:p>
          <w:p w14:paraId="70DC4E3E" w14:textId="7A33A368" w:rsidR="007F0CBA" w:rsidRPr="0032714B" w:rsidRDefault="002C139C" w:rsidP="004426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9A26DA"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="004426BD" w:rsidRPr="0032714B">
              <w:rPr>
                <w:sz w:val="24"/>
                <w:szCs w:val="24"/>
                <w:lang w:val="en-US"/>
              </w:rPr>
              <w:t>registration number of the</w:t>
            </w:r>
            <w:r w:rsidR="007F0CBA" w:rsidRPr="0032714B">
              <w:rPr>
                <w:sz w:val="24"/>
                <w:szCs w:val="24"/>
                <w:lang w:val="en-US"/>
              </w:rPr>
              <w:t xml:space="preserve"> securities</w:t>
            </w:r>
            <w:r w:rsidR="004426BD" w:rsidRPr="0032714B">
              <w:rPr>
                <w:sz w:val="24"/>
                <w:szCs w:val="24"/>
                <w:lang w:val="en-US"/>
              </w:rPr>
              <w:t xml:space="preserve"> </w:t>
            </w:r>
            <w:r w:rsidR="007F0CBA" w:rsidRPr="0032714B">
              <w:rPr>
                <w:sz w:val="24"/>
                <w:szCs w:val="24"/>
                <w:lang w:val="en-US"/>
              </w:rPr>
              <w:t>1-03-00161-A</w:t>
            </w:r>
            <w:r w:rsidR="004426BD" w:rsidRPr="0032714B">
              <w:rPr>
                <w:sz w:val="24"/>
                <w:szCs w:val="24"/>
                <w:lang w:val="en-US"/>
              </w:rPr>
              <w:t xml:space="preserve">, </w:t>
            </w:r>
          </w:p>
          <w:p w14:paraId="508D62EB" w14:textId="3F4382B3" w:rsidR="009A26DA" w:rsidRDefault="009A26DA" w:rsidP="004426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2C139C">
              <w:rPr>
                <w:sz w:val="24"/>
                <w:szCs w:val="24"/>
                <w:lang w:val="en-US"/>
              </w:rPr>
              <w:t>-</w:t>
            </w:r>
            <w:r w:rsidR="004426BD" w:rsidRPr="0032714B">
              <w:rPr>
                <w:sz w:val="24"/>
                <w:szCs w:val="24"/>
                <w:lang w:val="en-US"/>
              </w:rPr>
              <w:t xml:space="preserve"> registration date</w:t>
            </w:r>
            <w:r w:rsidR="00502C8F" w:rsidRPr="0032714B">
              <w:rPr>
                <w:sz w:val="24"/>
                <w:szCs w:val="24"/>
                <w:lang w:val="en-US"/>
              </w:rPr>
              <w:t>: October 26, 2001</w:t>
            </w:r>
            <w:r w:rsidR="00211795">
              <w:rPr>
                <w:sz w:val="24"/>
                <w:szCs w:val="24"/>
                <w:lang w:val="en-US"/>
              </w:rPr>
              <w:t>;</w:t>
            </w:r>
            <w:r w:rsidR="00502C8F" w:rsidRPr="0032714B">
              <w:rPr>
                <w:sz w:val="24"/>
                <w:szCs w:val="24"/>
                <w:lang w:val="en-US"/>
              </w:rPr>
              <w:t xml:space="preserve"> </w:t>
            </w:r>
          </w:p>
          <w:p w14:paraId="4EB293D6" w14:textId="2A10C305" w:rsidR="004426BD" w:rsidRPr="0032714B" w:rsidRDefault="009A26DA" w:rsidP="004426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- </w:t>
            </w:r>
            <w:r w:rsidR="00502C8F" w:rsidRPr="0032714B">
              <w:rPr>
                <w:sz w:val="24"/>
                <w:szCs w:val="24"/>
                <w:lang w:val="en-US"/>
              </w:rPr>
              <w:t>ISIN: RU0009033591</w:t>
            </w:r>
            <w:r w:rsidR="00D03B99">
              <w:rPr>
                <w:sz w:val="24"/>
                <w:szCs w:val="24"/>
                <w:lang w:val="en-US"/>
              </w:rPr>
              <w:t>.</w:t>
            </w:r>
          </w:p>
          <w:p w14:paraId="558A363F" w14:textId="7E9B7DCF" w:rsidR="007A393E" w:rsidRPr="0032714B" w:rsidRDefault="00502C8F" w:rsidP="00502C8F">
            <w:pPr>
              <w:pStyle w:val="prilozhenie"/>
              <w:ind w:firstLine="0"/>
              <w:rPr>
                <w:color w:val="000000"/>
                <w:lang w:val="en-US"/>
              </w:rPr>
            </w:pPr>
            <w:r w:rsidRPr="0032714B">
              <w:rPr>
                <w:lang w:val="en-US"/>
              </w:rPr>
              <w:t xml:space="preserve">     </w:t>
            </w:r>
          </w:p>
          <w:p w14:paraId="39121701" w14:textId="05E6F35B" w:rsidR="0032714B" w:rsidRPr="0032714B" w:rsidRDefault="0032714B" w:rsidP="003271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32714B">
              <w:rPr>
                <w:sz w:val="24"/>
                <w:szCs w:val="24"/>
                <w:lang w:val="en-US"/>
              </w:rPr>
              <w:t>2.2.1. I</w:t>
            </w:r>
            <w:r w:rsidR="00D03B99">
              <w:rPr>
                <w:sz w:val="24"/>
                <w:szCs w:val="24"/>
                <w:lang w:val="en-US"/>
              </w:rPr>
              <w:t>n</w:t>
            </w:r>
            <w:r w:rsidRPr="0032714B">
              <w:rPr>
                <w:sz w:val="24"/>
                <w:szCs w:val="24"/>
                <w:lang w:val="en-US"/>
              </w:rPr>
              <w:t xml:space="preserve"> the</w:t>
            </w:r>
            <w:r w:rsidR="00D03B99">
              <w:rPr>
                <w:sz w:val="24"/>
                <w:szCs w:val="24"/>
                <w:lang w:val="en-US"/>
              </w:rPr>
              <w:t xml:space="preserve"> event that</w:t>
            </w:r>
            <w:r w:rsidRPr="0032714B">
              <w:rPr>
                <w:sz w:val="24"/>
                <w:szCs w:val="24"/>
                <w:lang w:val="en-US"/>
              </w:rPr>
              <w:t xml:space="preserve"> Issuer's securities are included in the quotation list of the Russian exchange, the name of the quotation list</w:t>
            </w:r>
            <w:r w:rsidR="004D54BA">
              <w:rPr>
                <w:sz w:val="24"/>
                <w:szCs w:val="24"/>
                <w:lang w:val="en-US"/>
              </w:rPr>
              <w:t>,</w:t>
            </w:r>
            <w:r w:rsidRPr="0032714B">
              <w:rPr>
                <w:sz w:val="24"/>
                <w:szCs w:val="24"/>
                <w:lang w:val="en-US"/>
              </w:rPr>
              <w:t xml:space="preserve"> which the Issuer's securities are included</w:t>
            </w:r>
            <w:r w:rsidR="00D03B99">
              <w:rPr>
                <w:sz w:val="24"/>
                <w:szCs w:val="24"/>
                <w:lang w:val="en-US"/>
              </w:rPr>
              <w:t xml:space="preserve"> in</w:t>
            </w:r>
            <w:r w:rsidR="004D54BA">
              <w:rPr>
                <w:sz w:val="24"/>
                <w:szCs w:val="24"/>
                <w:lang w:val="en-US"/>
              </w:rPr>
              <w:t>:</w:t>
            </w:r>
            <w:r w:rsidRPr="0032714B">
              <w:rPr>
                <w:sz w:val="24"/>
                <w:szCs w:val="24"/>
                <w:lang w:val="en-US"/>
              </w:rPr>
              <w:t xml:space="preserve"> without inclusion in the quotation list.</w:t>
            </w:r>
          </w:p>
          <w:p w14:paraId="06095630" w14:textId="77777777" w:rsidR="0032714B" w:rsidRPr="0032714B" w:rsidRDefault="0032714B" w:rsidP="003271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  <w:p w14:paraId="2F3C143B" w14:textId="450845A5" w:rsidR="0032714B" w:rsidRPr="0032714B" w:rsidRDefault="0032714B" w:rsidP="003271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32714B">
              <w:rPr>
                <w:sz w:val="24"/>
                <w:szCs w:val="24"/>
                <w:lang w:val="en-US"/>
              </w:rPr>
              <w:t xml:space="preserve">2.3. </w:t>
            </w:r>
            <w:r w:rsidR="00D03B99">
              <w:rPr>
                <w:sz w:val="24"/>
                <w:szCs w:val="24"/>
                <w:lang w:val="en-US"/>
              </w:rPr>
              <w:t>The d</w:t>
            </w:r>
            <w:r w:rsidRPr="0032714B">
              <w:rPr>
                <w:sz w:val="24"/>
                <w:szCs w:val="24"/>
                <w:lang w:val="en-US"/>
              </w:rPr>
              <w:t>ate of inclu</w:t>
            </w:r>
            <w:r w:rsidR="00D03B99">
              <w:rPr>
                <w:sz w:val="24"/>
                <w:szCs w:val="24"/>
                <w:lang w:val="en-US"/>
              </w:rPr>
              <w:t>ding</w:t>
            </w:r>
            <w:r w:rsidRPr="0032714B">
              <w:rPr>
                <w:sz w:val="24"/>
                <w:szCs w:val="24"/>
                <w:lang w:val="en-US"/>
              </w:rPr>
              <w:t xml:space="preserve"> the </w:t>
            </w:r>
            <w:r w:rsidR="00D03B99" w:rsidRPr="0032714B">
              <w:rPr>
                <w:sz w:val="24"/>
                <w:szCs w:val="24"/>
                <w:lang w:val="en-US"/>
              </w:rPr>
              <w:t xml:space="preserve">Issuer's </w:t>
            </w:r>
            <w:r w:rsidRPr="0032714B">
              <w:rPr>
                <w:sz w:val="24"/>
                <w:szCs w:val="24"/>
                <w:lang w:val="en-US"/>
              </w:rPr>
              <w:t xml:space="preserve">securities in the quotation list of the Russian stock </w:t>
            </w:r>
            <w:r w:rsidR="004D54BA" w:rsidRPr="0032714B">
              <w:rPr>
                <w:sz w:val="24"/>
                <w:szCs w:val="24"/>
                <w:lang w:val="en-US"/>
              </w:rPr>
              <w:t xml:space="preserve">exchange </w:t>
            </w:r>
            <w:r w:rsidRPr="0032714B">
              <w:rPr>
                <w:sz w:val="24"/>
                <w:szCs w:val="24"/>
                <w:lang w:val="en-US"/>
              </w:rPr>
              <w:t xml:space="preserve">(in the list of securities admitted to </w:t>
            </w:r>
            <w:r w:rsidR="00D03B99">
              <w:rPr>
                <w:sz w:val="24"/>
                <w:szCs w:val="24"/>
                <w:lang w:val="en-US"/>
              </w:rPr>
              <w:t xml:space="preserve">the </w:t>
            </w:r>
            <w:r w:rsidRPr="0032714B">
              <w:rPr>
                <w:sz w:val="24"/>
                <w:szCs w:val="24"/>
                <w:lang w:val="en-US"/>
              </w:rPr>
              <w:t xml:space="preserve">organized trading by the Russian trade organizer): </w:t>
            </w:r>
            <w:r w:rsidR="009A26DA">
              <w:rPr>
                <w:sz w:val="24"/>
                <w:szCs w:val="24"/>
                <w:lang w:val="en-US"/>
              </w:rPr>
              <w:t>June 29</w:t>
            </w:r>
            <w:r w:rsidR="00D03B99">
              <w:rPr>
                <w:sz w:val="24"/>
                <w:szCs w:val="24"/>
                <w:lang w:val="en-US"/>
              </w:rPr>
              <w:t xml:space="preserve">, </w:t>
            </w:r>
            <w:r w:rsidRPr="0032714B">
              <w:rPr>
                <w:sz w:val="24"/>
                <w:szCs w:val="24"/>
                <w:lang w:val="en-US"/>
              </w:rPr>
              <w:t>2021.</w:t>
            </w:r>
          </w:p>
          <w:p w14:paraId="2EE0D607" w14:textId="77777777" w:rsidR="0032714B" w:rsidRPr="0032714B" w:rsidRDefault="0032714B" w:rsidP="003271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  <w:p w14:paraId="7DEEE877" w14:textId="3FB4116C" w:rsidR="00704231" w:rsidRPr="0032714B" w:rsidRDefault="0032714B" w:rsidP="002D0CB7">
            <w:pPr>
              <w:pStyle w:val="prilozhenie"/>
              <w:ind w:firstLine="0"/>
              <w:rPr>
                <w:color w:val="000000"/>
                <w:lang w:val="en-US"/>
              </w:rPr>
            </w:pPr>
            <w:r w:rsidRPr="0032714B">
              <w:rPr>
                <w:lang w:val="en-US"/>
              </w:rPr>
              <w:t xml:space="preserve">2.4. The date on which the </w:t>
            </w:r>
            <w:r w:rsidR="004D54BA" w:rsidRPr="0032714B">
              <w:rPr>
                <w:lang w:val="en-US"/>
              </w:rPr>
              <w:t xml:space="preserve">Issuer </w:t>
            </w:r>
            <w:r w:rsidRPr="0032714B">
              <w:rPr>
                <w:lang w:val="en-US"/>
              </w:rPr>
              <w:t>learned or should have learned</w:t>
            </w:r>
            <w:r w:rsidR="004D54BA">
              <w:rPr>
                <w:lang w:val="en-US"/>
              </w:rPr>
              <w:t xml:space="preserve"> about the</w:t>
            </w:r>
            <w:r w:rsidRPr="0032714B">
              <w:rPr>
                <w:lang w:val="en-US"/>
              </w:rPr>
              <w:t xml:space="preserve"> inclu</w:t>
            </w:r>
            <w:r w:rsidR="004D54BA">
              <w:rPr>
                <w:lang w:val="en-US"/>
              </w:rPr>
              <w:t>sion</w:t>
            </w:r>
            <w:r w:rsidRPr="0032714B">
              <w:rPr>
                <w:lang w:val="en-US"/>
              </w:rPr>
              <w:t xml:space="preserve"> by receiving a corresponding notification from the Russian trade organizer, about the inclusion of the </w:t>
            </w:r>
            <w:r w:rsidR="004D54BA" w:rsidRPr="0032714B">
              <w:rPr>
                <w:lang w:val="en-US"/>
              </w:rPr>
              <w:t xml:space="preserve">Issuer's </w:t>
            </w:r>
            <w:r w:rsidRPr="0032714B">
              <w:rPr>
                <w:lang w:val="en-US"/>
              </w:rPr>
              <w:t xml:space="preserve">securities in the quotation list of the Russian </w:t>
            </w:r>
            <w:r w:rsidR="004D54BA">
              <w:rPr>
                <w:lang w:val="en-US"/>
              </w:rPr>
              <w:t xml:space="preserve">stock </w:t>
            </w:r>
            <w:r w:rsidRPr="0032714B">
              <w:rPr>
                <w:lang w:val="en-US"/>
              </w:rPr>
              <w:t xml:space="preserve">exchange (in the list of securities admitted to organized trading by the Russian trade organizer): </w:t>
            </w:r>
            <w:r w:rsidR="009A26DA">
              <w:rPr>
                <w:lang w:val="en-US"/>
              </w:rPr>
              <w:t>June 2</w:t>
            </w:r>
            <w:r w:rsidR="002D0CB7">
              <w:t>8</w:t>
            </w:r>
            <w:bookmarkStart w:id="0" w:name="_GoBack"/>
            <w:bookmarkEnd w:id="0"/>
            <w:r w:rsidR="004D54BA">
              <w:rPr>
                <w:lang w:val="en-US"/>
              </w:rPr>
              <w:t xml:space="preserve">, </w:t>
            </w:r>
            <w:r w:rsidR="004D54BA" w:rsidRPr="0032714B">
              <w:rPr>
                <w:lang w:val="en-US"/>
              </w:rPr>
              <w:t>2021.</w:t>
            </w:r>
          </w:p>
        </w:tc>
      </w:tr>
      <w:tr w:rsidR="003A1337" w:rsidRPr="00172D96" w14:paraId="61E79F97" w14:textId="77777777" w:rsidTr="00DB3CC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4B3" w14:textId="77777777" w:rsidR="003A1337" w:rsidRPr="00172D96" w:rsidRDefault="003A1337" w:rsidP="00DB3CC7">
            <w:pPr>
              <w:pStyle w:val="prilozhenie"/>
              <w:ind w:firstLine="0"/>
              <w:jc w:val="center"/>
            </w:pPr>
            <w:r w:rsidRPr="00172D96">
              <w:t xml:space="preserve">3. </w:t>
            </w:r>
            <w:r w:rsidRPr="00172D96">
              <w:rPr>
                <w:lang w:val="en-US"/>
              </w:rPr>
              <w:t>Signature</w:t>
            </w:r>
          </w:p>
        </w:tc>
      </w:tr>
      <w:tr w:rsidR="003A1337" w:rsidRPr="00C3299D" w14:paraId="280DA95A" w14:textId="77777777" w:rsidTr="00DB3CC7">
        <w:tblPrEx>
          <w:tblLook w:val="00A0" w:firstRow="1" w:lastRow="0" w:firstColumn="1" w:lastColumn="0" w:noHBand="0" w:noVBand="0"/>
        </w:tblPrEx>
        <w:tc>
          <w:tcPr>
            <w:tcW w:w="10349" w:type="dxa"/>
            <w:gridSpan w:val="2"/>
          </w:tcPr>
          <w:p w14:paraId="3F6AB90A" w14:textId="338FCACF" w:rsidR="00900481" w:rsidRDefault="003A1337" w:rsidP="00900481">
            <w:pPr>
              <w:rPr>
                <w:sz w:val="24"/>
                <w:szCs w:val="24"/>
                <w:lang w:val="en-US"/>
              </w:rPr>
            </w:pPr>
            <w:r w:rsidRPr="00172D96">
              <w:rPr>
                <w:color w:val="000000"/>
                <w:lang w:val="en-US"/>
              </w:rPr>
              <w:t>3.1</w:t>
            </w:r>
            <w:r w:rsidR="0011004F">
              <w:rPr>
                <w:color w:val="000000"/>
                <w:lang w:val="en-US"/>
              </w:rPr>
              <w:t>.</w:t>
            </w:r>
            <w:r w:rsidRPr="00172D96">
              <w:rPr>
                <w:color w:val="000000"/>
                <w:lang w:val="en-US"/>
              </w:rPr>
              <w:t xml:space="preserve"> </w:t>
            </w:r>
            <w:r w:rsidR="00900481">
              <w:rPr>
                <w:sz w:val="24"/>
                <w:szCs w:val="24"/>
                <w:lang w:val="en-US"/>
              </w:rPr>
              <w:t>Corporate Secretary</w:t>
            </w:r>
            <w:r w:rsidR="0011004F">
              <w:rPr>
                <w:sz w:val="24"/>
                <w:szCs w:val="24"/>
                <w:lang w:val="en-US"/>
              </w:rPr>
              <w:t>’s</w:t>
            </w:r>
            <w:r w:rsidR="00900481">
              <w:rPr>
                <w:sz w:val="24"/>
                <w:szCs w:val="24"/>
                <w:lang w:val="en-US"/>
              </w:rPr>
              <w:t xml:space="preserve"> </w:t>
            </w:r>
            <w:r w:rsidR="00FF5A9F">
              <w:rPr>
                <w:sz w:val="24"/>
                <w:szCs w:val="24"/>
                <w:lang w:val="en-US"/>
              </w:rPr>
              <w:t>Deputy</w:t>
            </w:r>
            <w:r w:rsidR="00C3299D">
              <w:rPr>
                <w:sz w:val="24"/>
                <w:szCs w:val="24"/>
                <w:lang w:val="en-US"/>
              </w:rPr>
              <w:t xml:space="preserve"> </w:t>
            </w:r>
          </w:p>
          <w:p w14:paraId="7C497C7C" w14:textId="77777777" w:rsidR="00C3299D" w:rsidRDefault="00C3299D" w:rsidP="00900481">
            <w:pPr>
              <w:pStyle w:val="prilozhenie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9004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Head of the  </w:t>
            </w:r>
            <w:r w:rsidR="00900481">
              <w:rPr>
                <w:lang w:val="en-US"/>
              </w:rPr>
              <w:t>PJSC TATNEFT</w:t>
            </w:r>
            <w:r>
              <w:rPr>
                <w:lang w:val="en-US"/>
              </w:rPr>
              <w:t xml:space="preserve">’s </w:t>
            </w:r>
          </w:p>
          <w:p w14:paraId="2A39A8AB" w14:textId="77777777" w:rsidR="003A1337" w:rsidRPr="00172D96" w:rsidRDefault="00C3299D" w:rsidP="00900481">
            <w:pPr>
              <w:pStyle w:val="prilozhenie"/>
              <w:ind w:firstLine="0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      Corporate Secretary Office Staff</w:t>
            </w:r>
            <w:r w:rsidR="00900481">
              <w:rPr>
                <w:lang w:val="en-US"/>
              </w:rPr>
              <w:t xml:space="preserve">             ___________</w:t>
            </w:r>
            <w:r>
              <w:rPr>
                <w:lang w:val="en-US"/>
              </w:rPr>
              <w:t xml:space="preserve">     </w:t>
            </w:r>
            <w:r w:rsidR="00900481">
              <w:rPr>
                <w:lang w:val="en-US"/>
              </w:rPr>
              <w:t xml:space="preserve">           </w:t>
            </w:r>
            <w:r w:rsidR="00FF5A9F">
              <w:rPr>
                <w:lang w:val="en-US"/>
              </w:rPr>
              <w:t xml:space="preserve">                                       </w:t>
            </w:r>
            <w:r w:rsidR="00900481">
              <w:rPr>
                <w:lang w:val="en-US"/>
              </w:rPr>
              <w:t xml:space="preserve"> </w:t>
            </w:r>
            <w:r w:rsidR="00FF5A9F">
              <w:rPr>
                <w:lang w:val="en-US"/>
              </w:rPr>
              <w:t>D.M. Gamirov</w:t>
            </w:r>
            <w:r w:rsidR="003A1337" w:rsidRPr="00172D96">
              <w:rPr>
                <w:color w:val="000000"/>
                <w:lang w:val="en-US"/>
              </w:rPr>
              <w:t xml:space="preserve">                         </w:t>
            </w:r>
          </w:p>
          <w:p w14:paraId="01087946" w14:textId="77777777" w:rsidR="003A1337" w:rsidRPr="00172D96" w:rsidRDefault="00FF5A9F" w:rsidP="00DB3CC7">
            <w:pPr>
              <w:pStyle w:val="prilozhenie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                                                          </w:t>
            </w:r>
            <w:r w:rsidR="003A1337" w:rsidRPr="00172D96">
              <w:rPr>
                <w:color w:val="000000"/>
                <w:lang w:val="en-US"/>
              </w:rPr>
              <w:t>(signature)</w:t>
            </w:r>
          </w:p>
          <w:p w14:paraId="3D211B0B" w14:textId="65E9B72C" w:rsidR="003A1337" w:rsidRPr="00172D96" w:rsidRDefault="003A1337" w:rsidP="00DB3CC7">
            <w:pPr>
              <w:pStyle w:val="prilozhenie"/>
              <w:ind w:firstLine="0"/>
              <w:rPr>
                <w:color w:val="000000"/>
                <w:lang w:val="en-US"/>
              </w:rPr>
            </w:pPr>
            <w:r w:rsidRPr="00172D96">
              <w:rPr>
                <w:color w:val="000000"/>
                <w:lang w:val="en-US"/>
              </w:rPr>
              <w:t xml:space="preserve">3.2. Date: </w:t>
            </w:r>
            <w:r w:rsidR="009A26DA">
              <w:rPr>
                <w:lang w:val="en-US"/>
              </w:rPr>
              <w:t>June 29</w:t>
            </w:r>
            <w:r w:rsidR="00FF5A9F">
              <w:rPr>
                <w:color w:val="000000"/>
                <w:lang w:val="en-US"/>
              </w:rPr>
              <w:t>, 20</w:t>
            </w:r>
            <w:r w:rsidR="0011004F">
              <w:rPr>
                <w:color w:val="000000"/>
                <w:lang w:val="en-US"/>
              </w:rPr>
              <w:t>21</w:t>
            </w:r>
            <w:r w:rsidRPr="00172D96">
              <w:rPr>
                <w:color w:val="000000"/>
                <w:lang w:val="en-US"/>
              </w:rPr>
              <w:t xml:space="preserve">  </w:t>
            </w:r>
            <w:r w:rsidR="00FF5A9F">
              <w:rPr>
                <w:color w:val="000000"/>
                <w:lang w:val="en-US"/>
              </w:rPr>
              <w:t xml:space="preserve">   </w:t>
            </w:r>
            <w:r w:rsidR="0083356C">
              <w:rPr>
                <w:color w:val="000000"/>
                <w:lang w:val="en-US"/>
              </w:rPr>
              <w:t xml:space="preserve">                                 </w:t>
            </w:r>
            <w:r w:rsidR="00FF5A9F">
              <w:rPr>
                <w:color w:val="000000"/>
                <w:lang w:val="en-US"/>
              </w:rPr>
              <w:t xml:space="preserve"> </w:t>
            </w:r>
            <w:r w:rsidR="0083356C" w:rsidRPr="00172D96">
              <w:rPr>
                <w:color w:val="000000"/>
                <w:lang w:val="en-US"/>
              </w:rPr>
              <w:t>seal</w:t>
            </w:r>
            <w:r w:rsidR="00FF5A9F">
              <w:rPr>
                <w:color w:val="000000"/>
                <w:lang w:val="en-US"/>
              </w:rPr>
              <w:t xml:space="preserve">                                                  </w:t>
            </w:r>
            <w:r w:rsidRPr="00172D96">
              <w:rPr>
                <w:color w:val="000000"/>
                <w:lang w:val="en-US"/>
              </w:rPr>
              <w:t xml:space="preserve">                                           </w:t>
            </w:r>
          </w:p>
          <w:p w14:paraId="3A1739B5" w14:textId="77777777" w:rsidR="003A1337" w:rsidRPr="009524FC" w:rsidRDefault="003A1337" w:rsidP="00DB3CC7">
            <w:pPr>
              <w:pStyle w:val="prilozhenie"/>
              <w:keepNext/>
              <w:widowControl w:val="0"/>
              <w:ind w:firstLine="0"/>
              <w:rPr>
                <w:lang w:val="en-US"/>
              </w:rPr>
            </w:pPr>
          </w:p>
        </w:tc>
      </w:tr>
    </w:tbl>
    <w:p w14:paraId="2F2697F2" w14:textId="77777777" w:rsidR="003A1337" w:rsidRPr="009524FC" w:rsidRDefault="003A1337" w:rsidP="003A1337">
      <w:pPr>
        <w:rPr>
          <w:lang w:val="en-US"/>
        </w:rPr>
      </w:pPr>
    </w:p>
    <w:p w14:paraId="769FE5DE" w14:textId="77777777" w:rsidR="006D34E7" w:rsidRPr="009524FC" w:rsidRDefault="006D34E7" w:rsidP="00BD04A2">
      <w:pPr>
        <w:rPr>
          <w:lang w:val="en-US"/>
        </w:rPr>
      </w:pPr>
    </w:p>
    <w:sectPr w:rsidR="006D34E7" w:rsidRPr="009524FC" w:rsidSect="00682555">
      <w:pgSz w:w="11906" w:h="16838"/>
      <w:pgMar w:top="709" w:right="850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1718"/>
    <w:multiLevelType w:val="multilevel"/>
    <w:tmpl w:val="09C6722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71FE68E9"/>
    <w:multiLevelType w:val="singleLevel"/>
    <w:tmpl w:val="1CBA90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A"/>
    <w:rsid w:val="000017B4"/>
    <w:rsid w:val="00023B4F"/>
    <w:rsid w:val="0002474D"/>
    <w:rsid w:val="000252B7"/>
    <w:rsid w:val="00042B86"/>
    <w:rsid w:val="00062F20"/>
    <w:rsid w:val="00067406"/>
    <w:rsid w:val="00072D1E"/>
    <w:rsid w:val="00076D6C"/>
    <w:rsid w:val="000874A6"/>
    <w:rsid w:val="000C4503"/>
    <w:rsid w:val="000D460B"/>
    <w:rsid w:val="000D5427"/>
    <w:rsid w:val="000E1617"/>
    <w:rsid w:val="0011004F"/>
    <w:rsid w:val="00120862"/>
    <w:rsid w:val="001341B6"/>
    <w:rsid w:val="001635B0"/>
    <w:rsid w:val="001A0401"/>
    <w:rsid w:val="001A0995"/>
    <w:rsid w:val="001B1D2E"/>
    <w:rsid w:val="001B7CA7"/>
    <w:rsid w:val="001C10FB"/>
    <w:rsid w:val="001C75A4"/>
    <w:rsid w:val="001D4BA0"/>
    <w:rsid w:val="00211795"/>
    <w:rsid w:val="00216F8F"/>
    <w:rsid w:val="002303C2"/>
    <w:rsid w:val="00233B41"/>
    <w:rsid w:val="00255B3B"/>
    <w:rsid w:val="00261237"/>
    <w:rsid w:val="00267648"/>
    <w:rsid w:val="00294FB2"/>
    <w:rsid w:val="00297FDA"/>
    <w:rsid w:val="002B31CD"/>
    <w:rsid w:val="002B5C86"/>
    <w:rsid w:val="002C139C"/>
    <w:rsid w:val="002C1C41"/>
    <w:rsid w:val="002C4449"/>
    <w:rsid w:val="002D0CB7"/>
    <w:rsid w:val="002D543A"/>
    <w:rsid w:val="002F6E66"/>
    <w:rsid w:val="003205F0"/>
    <w:rsid w:val="00324A30"/>
    <w:rsid w:val="0032714B"/>
    <w:rsid w:val="00331418"/>
    <w:rsid w:val="003323BF"/>
    <w:rsid w:val="00387AF8"/>
    <w:rsid w:val="00391206"/>
    <w:rsid w:val="00397BEF"/>
    <w:rsid w:val="003A1337"/>
    <w:rsid w:val="003A3D67"/>
    <w:rsid w:val="003C5E25"/>
    <w:rsid w:val="003C6793"/>
    <w:rsid w:val="003F04B3"/>
    <w:rsid w:val="003F37D2"/>
    <w:rsid w:val="00413E06"/>
    <w:rsid w:val="0041790D"/>
    <w:rsid w:val="0042311F"/>
    <w:rsid w:val="0042534D"/>
    <w:rsid w:val="00425D77"/>
    <w:rsid w:val="004426BD"/>
    <w:rsid w:val="00470D85"/>
    <w:rsid w:val="00483DF8"/>
    <w:rsid w:val="00494EF2"/>
    <w:rsid w:val="004C3DE7"/>
    <w:rsid w:val="004D54BA"/>
    <w:rsid w:val="004E2DAC"/>
    <w:rsid w:val="004F12D8"/>
    <w:rsid w:val="004F2EC2"/>
    <w:rsid w:val="00502C8F"/>
    <w:rsid w:val="0050407C"/>
    <w:rsid w:val="00504FDA"/>
    <w:rsid w:val="0050621C"/>
    <w:rsid w:val="00531830"/>
    <w:rsid w:val="00540593"/>
    <w:rsid w:val="00545FB1"/>
    <w:rsid w:val="00547C4F"/>
    <w:rsid w:val="005647D2"/>
    <w:rsid w:val="0056482F"/>
    <w:rsid w:val="00566A79"/>
    <w:rsid w:val="00566BD2"/>
    <w:rsid w:val="005859CD"/>
    <w:rsid w:val="005D4536"/>
    <w:rsid w:val="005E1B8A"/>
    <w:rsid w:val="005E1C79"/>
    <w:rsid w:val="005E65B7"/>
    <w:rsid w:val="005F461C"/>
    <w:rsid w:val="005F7EB8"/>
    <w:rsid w:val="0060086C"/>
    <w:rsid w:val="006247EE"/>
    <w:rsid w:val="00625760"/>
    <w:rsid w:val="006259B2"/>
    <w:rsid w:val="00627E6E"/>
    <w:rsid w:val="00645DCE"/>
    <w:rsid w:val="0066056C"/>
    <w:rsid w:val="006667B9"/>
    <w:rsid w:val="00671C6B"/>
    <w:rsid w:val="00682555"/>
    <w:rsid w:val="006A2A37"/>
    <w:rsid w:val="006A4911"/>
    <w:rsid w:val="006B1F56"/>
    <w:rsid w:val="006C1D4A"/>
    <w:rsid w:val="006C6EAB"/>
    <w:rsid w:val="006D34E7"/>
    <w:rsid w:val="00704231"/>
    <w:rsid w:val="00707C09"/>
    <w:rsid w:val="00712303"/>
    <w:rsid w:val="00753D81"/>
    <w:rsid w:val="00797DAF"/>
    <w:rsid w:val="007A393E"/>
    <w:rsid w:val="007B2429"/>
    <w:rsid w:val="007C3C9E"/>
    <w:rsid w:val="007F0CBA"/>
    <w:rsid w:val="007F6A57"/>
    <w:rsid w:val="00825CE3"/>
    <w:rsid w:val="00826849"/>
    <w:rsid w:val="00827CF6"/>
    <w:rsid w:val="0083356C"/>
    <w:rsid w:val="00846845"/>
    <w:rsid w:val="00877290"/>
    <w:rsid w:val="008840FB"/>
    <w:rsid w:val="008A3256"/>
    <w:rsid w:val="008C5123"/>
    <w:rsid w:val="008F2E25"/>
    <w:rsid w:val="008F4BA0"/>
    <w:rsid w:val="008F5EF9"/>
    <w:rsid w:val="00900481"/>
    <w:rsid w:val="00903214"/>
    <w:rsid w:val="00916513"/>
    <w:rsid w:val="00920322"/>
    <w:rsid w:val="00931F12"/>
    <w:rsid w:val="009524FC"/>
    <w:rsid w:val="00954355"/>
    <w:rsid w:val="00962AA1"/>
    <w:rsid w:val="00973D6D"/>
    <w:rsid w:val="00982C24"/>
    <w:rsid w:val="00996DDD"/>
    <w:rsid w:val="009A26DA"/>
    <w:rsid w:val="009A6B61"/>
    <w:rsid w:val="009B2626"/>
    <w:rsid w:val="009B423C"/>
    <w:rsid w:val="009B7585"/>
    <w:rsid w:val="00A07805"/>
    <w:rsid w:val="00A25EB3"/>
    <w:rsid w:val="00A32AE0"/>
    <w:rsid w:val="00A4493D"/>
    <w:rsid w:val="00A63110"/>
    <w:rsid w:val="00A65CEA"/>
    <w:rsid w:val="00A66962"/>
    <w:rsid w:val="00A73E2F"/>
    <w:rsid w:val="00A74AEE"/>
    <w:rsid w:val="00A94409"/>
    <w:rsid w:val="00AC47F4"/>
    <w:rsid w:val="00AD61E5"/>
    <w:rsid w:val="00AD7BA4"/>
    <w:rsid w:val="00AF56C4"/>
    <w:rsid w:val="00B15C71"/>
    <w:rsid w:val="00B45B5A"/>
    <w:rsid w:val="00B81B39"/>
    <w:rsid w:val="00B86E27"/>
    <w:rsid w:val="00B90087"/>
    <w:rsid w:val="00BA0FAB"/>
    <w:rsid w:val="00BB369B"/>
    <w:rsid w:val="00BB6D19"/>
    <w:rsid w:val="00BD04A2"/>
    <w:rsid w:val="00BD4CA7"/>
    <w:rsid w:val="00BE7CEF"/>
    <w:rsid w:val="00BF0D2C"/>
    <w:rsid w:val="00C04FAE"/>
    <w:rsid w:val="00C13536"/>
    <w:rsid w:val="00C3299D"/>
    <w:rsid w:val="00C803AF"/>
    <w:rsid w:val="00CC6463"/>
    <w:rsid w:val="00CE0354"/>
    <w:rsid w:val="00CE5918"/>
    <w:rsid w:val="00CF6B32"/>
    <w:rsid w:val="00D00602"/>
    <w:rsid w:val="00D03B99"/>
    <w:rsid w:val="00D0608C"/>
    <w:rsid w:val="00D23A19"/>
    <w:rsid w:val="00D41D8B"/>
    <w:rsid w:val="00D4225B"/>
    <w:rsid w:val="00D6785B"/>
    <w:rsid w:val="00DA5B70"/>
    <w:rsid w:val="00DB3CC7"/>
    <w:rsid w:val="00DB7870"/>
    <w:rsid w:val="00DF5D97"/>
    <w:rsid w:val="00E14558"/>
    <w:rsid w:val="00E33E9E"/>
    <w:rsid w:val="00E4387C"/>
    <w:rsid w:val="00E46405"/>
    <w:rsid w:val="00E709BC"/>
    <w:rsid w:val="00EB0E15"/>
    <w:rsid w:val="00EC6907"/>
    <w:rsid w:val="00EF2BFF"/>
    <w:rsid w:val="00F03EC4"/>
    <w:rsid w:val="00F1287E"/>
    <w:rsid w:val="00F21EEA"/>
    <w:rsid w:val="00F269A4"/>
    <w:rsid w:val="00F32DCC"/>
    <w:rsid w:val="00F47C3A"/>
    <w:rsid w:val="00F7352A"/>
    <w:rsid w:val="00F8300D"/>
    <w:rsid w:val="00F85387"/>
    <w:rsid w:val="00FC5A66"/>
    <w:rsid w:val="00FD6142"/>
    <w:rsid w:val="00FF3688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C41D1C"/>
  <w15:chartTrackingRefBased/>
  <w15:docId w15:val="{3287D3CD-0F57-47D0-A608-8DEE6104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5E65B7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prilozhenie">
    <w:name w:val="prilozhenie"/>
    <w:rsid w:val="005E65B7"/>
    <w:pPr>
      <w:ind w:firstLine="709"/>
      <w:jc w:val="both"/>
    </w:pPr>
    <w:rPr>
      <w:sz w:val="24"/>
      <w:szCs w:val="24"/>
    </w:rPr>
  </w:style>
  <w:style w:type="paragraph" w:customStyle="1" w:styleId="prilozhshapka">
    <w:name w:val="prilozh shapka"/>
    <w:basedOn w:val="prilozhenie"/>
    <w:rsid w:val="005E65B7"/>
    <w:pPr>
      <w:ind w:firstLine="0"/>
      <w:jc w:val="right"/>
    </w:pPr>
  </w:style>
  <w:style w:type="character" w:customStyle="1" w:styleId="SUBST">
    <w:name w:val="__SUBST"/>
    <w:rsid w:val="005E65B7"/>
    <w:rPr>
      <w:b/>
      <w:bCs/>
      <w:i/>
      <w:iCs/>
      <w:sz w:val="22"/>
      <w:szCs w:val="22"/>
    </w:rPr>
  </w:style>
  <w:style w:type="paragraph" w:styleId="a3">
    <w:name w:val="Body Text Indent"/>
    <w:basedOn w:val="a"/>
    <w:rsid w:val="005E65B7"/>
    <w:pPr>
      <w:jc w:val="both"/>
    </w:pPr>
    <w:rPr>
      <w:sz w:val="22"/>
      <w:szCs w:val="22"/>
    </w:rPr>
  </w:style>
  <w:style w:type="character" w:styleId="a4">
    <w:name w:val="Hyperlink"/>
    <w:uiPriority w:val="99"/>
    <w:rsid w:val="005E65B7"/>
    <w:rPr>
      <w:color w:val="0000FF"/>
      <w:u w:val="single"/>
    </w:rPr>
  </w:style>
  <w:style w:type="paragraph" w:styleId="a5">
    <w:name w:val="Balloon Text"/>
    <w:basedOn w:val="a"/>
    <w:semiHidden/>
    <w:rsid w:val="005E65B7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E65B7"/>
    <w:rPr>
      <w:sz w:val="16"/>
      <w:szCs w:val="16"/>
    </w:rPr>
  </w:style>
  <w:style w:type="paragraph" w:styleId="a7">
    <w:name w:val="annotation text"/>
    <w:basedOn w:val="a"/>
    <w:semiHidden/>
    <w:rsid w:val="005E65B7"/>
  </w:style>
  <w:style w:type="paragraph" w:styleId="a8">
    <w:name w:val="annotation subject"/>
    <w:basedOn w:val="a7"/>
    <w:next w:val="a7"/>
    <w:semiHidden/>
    <w:rsid w:val="005E65B7"/>
    <w:rPr>
      <w:b/>
      <w:bCs/>
    </w:rPr>
  </w:style>
  <w:style w:type="paragraph" w:customStyle="1" w:styleId="ConsNonformat">
    <w:name w:val="ConsNonformat"/>
    <w:rsid w:val="005E65B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9">
    <w:basedOn w:val="a"/>
    <w:rsid w:val="00A25E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7B24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1B1D2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haraginaoa\&#1052;&#1086;&#1080;%20&#1076;&#1086;&#1082;&#1091;&#1084;&#1077;&#1085;&#1090;&#1099;\&#1084;&#1085;&#1086;&#1075;&#1086;%20&#1044;&#1086;&#1082;&#1091;&#1084;&#1077;&#1085;&#1090;&#1099;%20&#1064;&#1072;&#1088;&#1072;&#1075;&#1080;&#1085;&#1086;&#1081;\&#1052;&#1085;&#1086;&#1075;&#1086;%20&#1084;&#1085;&#1086;&#1075;&#1086;%20&#1057;&#1091;&#1097;&#1077;&#1089;&#1090;&#1074;&#1077;&#1085;&#1085;&#1099;&#1077;%20&#1092;&#1072;&#1082;&#1090;&#1099;\&#1057;&#1091;&#1097;.&#1092;&#1072;&#1082;&#1090;&#1099;%20%202012%20&#1075;&#1086;&#1076;&#1072;%20&#1053;&#1086;&#1074;&#1072;&#1103;%20&#1087;&#1072;&#1087;&#1082;&#1072;\--ESFSECEV-TY3013---------------------------------------" TargetMode="External"/><Relationship Id="rId5" Type="http://schemas.openxmlformats.org/officeDocument/2006/relationships/hyperlink" Target="http://www.tat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СУЩЕСТВЕННЫХ ФАКТАХ</vt:lpstr>
    </vt:vector>
  </TitlesOfParts>
  <Company>Bank ZENIT</Company>
  <LinksUpToDate>false</LinksUpToDate>
  <CharactersWithSpaces>3375</CharactersWithSpaces>
  <SharedDoc>false</SharedDoc>
  <HLinks>
    <vt:vector size="12" baseType="variant">
      <vt:variant>
        <vt:i4>68748414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Settings\sharaginaoa\Мои документы\много Документы Шарагиной\Много много Существенные факты\Сущ.факты  2012 года Новая папка\--ESFSECEV-TY3013---------------------------------------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http://www.tatneft.ru/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СУЩЕСТВЕННЫХ ФАКТАХ</dc:title>
  <dc:subject/>
  <dc:creator>Master</dc:creator>
  <cp:keywords/>
  <dc:description/>
  <cp:lastModifiedBy>Шарагина Ольга Александровна</cp:lastModifiedBy>
  <cp:revision>3</cp:revision>
  <cp:lastPrinted>2012-03-14T11:37:00Z</cp:lastPrinted>
  <dcterms:created xsi:type="dcterms:W3CDTF">2021-06-29T13:19:00Z</dcterms:created>
  <dcterms:modified xsi:type="dcterms:W3CDTF">2021-06-29T13:43:00Z</dcterms:modified>
</cp:coreProperties>
</file>